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61" w:rsidRDefault="00144061" w:rsidP="00144061">
      <w:pPr>
        <w:pStyle w:val="Heading1"/>
      </w:pPr>
      <w:r>
        <w:t>I</w:t>
      </w:r>
      <w:r>
        <w:t>nterior Design</w:t>
      </w:r>
    </w:p>
    <w:p w:rsidR="00144061" w:rsidRDefault="00144061" w:rsidP="00144061">
      <w:r>
        <w:t>Purpose: To support teaching and research at the undergraduate, master’s degree and professional level in Interior Design. This program also relies heavily on collections in Architecture, Fine Arts, History and Business collections. To a lesser degree, Sociology, Psychology and Anthropology also inform the discipline. Collection policies in those fields should also be consulted when necessary.</w:t>
      </w:r>
    </w:p>
    <w:p w:rsidR="00144061" w:rsidRDefault="00144061" w:rsidP="00144061">
      <w:pPr>
        <w:pStyle w:val="Heading2"/>
      </w:pPr>
      <w:r>
        <w:t>General Collection Guidelines:</w:t>
      </w:r>
    </w:p>
    <w:p w:rsidR="00144061" w:rsidRDefault="00144061" w:rsidP="00144061">
      <w:r>
        <w:t>Languages: English and English translations. There is no limitation of language, however, when illustrative material is more important than text.</w:t>
      </w:r>
    </w:p>
    <w:p w:rsidR="00144061" w:rsidRDefault="00144061" w:rsidP="00144061">
      <w:r>
        <w:t>Chronological Guidelines: Current research and creative output are emphasized. Older historical works are collected selectively.</w:t>
      </w:r>
    </w:p>
    <w:p w:rsidR="00144061" w:rsidRDefault="00144061" w:rsidP="00144061">
      <w:r>
        <w:t>Geographical Guidelines: Western practices are emphasized, but no region is excluded. Materials are acquired that develop broad perspectives.</w:t>
      </w:r>
    </w:p>
    <w:p w:rsidR="00144061" w:rsidRDefault="00144061" w:rsidP="00144061">
      <w:r>
        <w:t>Treatment of the Subject: Both lay and professional treatments of the field are acquired. Technical manuals, "how-to" books, theoretical and practical works are equally important. Biographies of designers and works about particular sites or projects are also acquired.</w:t>
      </w:r>
    </w:p>
    <w:p w:rsidR="00144061" w:rsidRDefault="00144061" w:rsidP="00144061">
      <w:r>
        <w:t>Types of Material: Materials acquired are in the form of books, periodicals, media materials, indexes and electronic databases.</w:t>
      </w:r>
    </w:p>
    <w:p w:rsidR="00144061" w:rsidRDefault="00144061" w:rsidP="00144061">
      <w:r>
        <w:t>Date of Publication: Emphasis is on currently published materials. Retrospective materials are purchased selectively.</w:t>
      </w:r>
    </w:p>
    <w:p w:rsidR="00144061" w:rsidRDefault="00144061" w:rsidP="00144061">
      <w:pPr>
        <w:pStyle w:val="Heading2"/>
      </w:pPr>
      <w:bookmarkStart w:id="0" w:name="_GoBack"/>
      <w:r>
        <w:t>Observations and Qualifications by Subject with Collection Level:</w:t>
      </w:r>
    </w:p>
    <w:bookmarkEnd w:id="0"/>
    <w:p w:rsidR="00144061" w:rsidRDefault="00144061" w:rsidP="00144061">
      <w:r>
        <w:t xml:space="preserve">Interiors, Domestic: </w:t>
      </w:r>
      <w:proofErr w:type="gramStart"/>
      <w:r>
        <w:t>C(</w:t>
      </w:r>
      <w:proofErr w:type="gramEnd"/>
      <w:r>
        <w:t>1)</w:t>
      </w:r>
    </w:p>
    <w:p w:rsidR="00144061" w:rsidRDefault="00144061" w:rsidP="00144061">
      <w:r>
        <w:t>Materials to support interior design courses include history of interiors and historical household furnishings of various countries and periods. Equal emphasis is placed on contemporary design, rendering techniques, domestic textiles and small-scale building crafts.</w:t>
      </w:r>
    </w:p>
    <w:p w:rsidR="00144061" w:rsidRDefault="00144061" w:rsidP="00144061">
      <w:r>
        <w:t xml:space="preserve">Interiors, Commercial and Industrial: </w:t>
      </w:r>
      <w:proofErr w:type="gramStart"/>
      <w:r>
        <w:t>C(</w:t>
      </w:r>
      <w:proofErr w:type="gramEnd"/>
      <w:r>
        <w:t>1)</w:t>
      </w:r>
    </w:p>
    <w:p w:rsidR="00144061" w:rsidRDefault="00144061" w:rsidP="00144061">
      <w:r>
        <w:t xml:space="preserve">In addition to the above considerations, space and facilities planning, </w:t>
      </w:r>
      <w:proofErr w:type="spellStart"/>
      <w:r>
        <w:t>commerical</w:t>
      </w:r>
      <w:proofErr w:type="spellEnd"/>
      <w:r>
        <w:t xml:space="preserve"> furniture and textiles are added. Designing for the elderly and physically handicapped are also collected.</w:t>
      </w:r>
    </w:p>
    <w:p w:rsidR="00144061" w:rsidRDefault="00144061" w:rsidP="00144061">
      <w:r>
        <w:t>Christy Zlatos</w:t>
      </w:r>
    </w:p>
    <w:p w:rsidR="004813C3" w:rsidRDefault="00144061" w:rsidP="00144061">
      <w:r>
        <w:t>Spring 2004</w:t>
      </w:r>
    </w:p>
    <w:sectPr w:rsidR="0048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1"/>
    <w:rsid w:val="00144061"/>
    <w:rsid w:val="0048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4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6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4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2013-10-29T20:51:00Z</dcterms:created>
  <dcterms:modified xsi:type="dcterms:W3CDTF">2013-10-29T20:52:00Z</dcterms:modified>
</cp:coreProperties>
</file>